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hint="eastAsia" w:ascii="黑体" w:hAnsi="黑体" w:eastAsia="黑体" w:cs="黑体"/>
          <w:b/>
          <w:spacing w:val="-17"/>
          <w:kern w:val="0"/>
          <w:sz w:val="28"/>
          <w:szCs w:val="28"/>
        </w:rPr>
      </w:pPr>
      <w:r>
        <w:rPr>
          <w:rFonts w:hint="eastAsia" w:ascii="黑体" w:hAnsi="黑体" w:eastAsia="黑体" w:cs="黑体"/>
          <w:b/>
          <w:spacing w:val="-17"/>
          <w:kern w:val="0"/>
          <w:sz w:val="28"/>
          <w:szCs w:val="28"/>
          <w:lang w:val="en-US" w:eastAsia="zh-CN"/>
        </w:rPr>
        <w:t>公告11</w:t>
      </w:r>
      <w:bookmarkStart w:id="0" w:name="_GoBack"/>
      <w:bookmarkEnd w:id="0"/>
      <w:r>
        <w:rPr>
          <w:rFonts w:hint="eastAsia" w:ascii="黑体" w:hAnsi="黑体" w:eastAsia="黑体" w:cs="黑体"/>
          <w:b/>
          <w:spacing w:val="-17"/>
          <w:kern w:val="0"/>
          <w:sz w:val="28"/>
          <w:szCs w:val="28"/>
          <w:lang w:val="en-US" w:eastAsia="zh-CN"/>
        </w:rPr>
        <w:t>：</w:t>
      </w:r>
    </w:p>
    <w:p>
      <w:pPr>
        <w:widowControl/>
        <w:jc w:val="center"/>
        <w:rPr>
          <w:rFonts w:hint="eastAsia" w:ascii="黑体" w:hAnsi="黑体" w:eastAsia="黑体" w:cs="黑体"/>
          <w:b/>
          <w:spacing w:val="-17"/>
          <w:kern w:val="0"/>
          <w:sz w:val="44"/>
          <w:szCs w:val="44"/>
        </w:rPr>
      </w:pPr>
      <w:r>
        <w:rPr>
          <w:rFonts w:hint="eastAsia" w:ascii="黑体" w:hAnsi="黑体" w:eastAsia="黑体" w:cs="黑体"/>
          <w:b/>
          <w:spacing w:val="-17"/>
          <w:kern w:val="0"/>
          <w:sz w:val="44"/>
          <w:szCs w:val="44"/>
        </w:rPr>
        <w:t>河南能源“揭榜挂帅”科技项目榜单公告</w:t>
      </w:r>
    </w:p>
    <w:p>
      <w:pPr>
        <w:widowControl/>
        <w:ind w:firstLine="640" w:firstLineChars="200"/>
        <w:jc w:val="left"/>
        <w:rPr>
          <w:rFonts w:ascii="仿宋_GB2312" w:hAnsi="宋体" w:eastAsia="仿宋_GB2312" w:cs="宋体"/>
          <w:kern w:val="0"/>
          <w:sz w:val="32"/>
          <w:szCs w:val="32"/>
        </w:rPr>
      </w:pP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一、榜单名称</w:t>
      </w:r>
    </w:p>
    <w:p>
      <w:pPr>
        <w:widowControl/>
        <w:ind w:firstLine="643" w:firstLineChars="200"/>
        <w:rPr>
          <w:rFonts w:ascii="仿宋" w:hAnsi="仿宋" w:eastAsia="仿宋" w:cs="仿宋"/>
          <w:bCs/>
          <w:kern w:val="0"/>
          <w:sz w:val="32"/>
          <w:szCs w:val="32"/>
        </w:rPr>
      </w:pPr>
      <w:r>
        <w:rPr>
          <w:rFonts w:hint="eastAsia" w:ascii="仿宋" w:hAnsi="仿宋" w:eastAsia="仿宋" w:cs="仿宋"/>
          <w:b/>
          <w:bCs/>
          <w:kern w:val="0"/>
          <w:sz w:val="32"/>
          <w:szCs w:val="32"/>
        </w:rPr>
        <w:t>项目名称：</w:t>
      </w:r>
      <w:r>
        <w:rPr>
          <w:rFonts w:hint="eastAsia" w:ascii="仿宋" w:hAnsi="仿宋" w:eastAsia="仿宋" w:cs="仿宋_GB2312"/>
          <w:sz w:val="32"/>
          <w:szCs w:val="32"/>
        </w:rPr>
        <w:t>焦作矿区电网源网荷储一体化关键技术研究与应用</w:t>
      </w:r>
    </w:p>
    <w:p>
      <w:pPr>
        <w:widowControl/>
        <w:ind w:firstLine="643" w:firstLineChars="200"/>
        <w:rPr>
          <w:rFonts w:ascii="仿宋" w:hAnsi="仿宋" w:eastAsia="仿宋" w:cs="仿宋"/>
          <w:kern w:val="0"/>
          <w:sz w:val="32"/>
          <w:szCs w:val="32"/>
        </w:rPr>
      </w:pPr>
      <w:r>
        <w:rPr>
          <w:rFonts w:hint="eastAsia" w:ascii="仿宋" w:hAnsi="仿宋" w:eastAsia="仿宋" w:cs="仿宋"/>
          <w:b/>
          <w:bCs/>
          <w:kern w:val="0"/>
          <w:sz w:val="32"/>
          <w:szCs w:val="32"/>
        </w:rPr>
        <w:t>注：</w:t>
      </w:r>
      <w:r>
        <w:rPr>
          <w:rFonts w:hint="eastAsia" w:ascii="仿宋" w:hAnsi="仿宋" w:eastAsia="仿宋" w:cs="仿宋"/>
          <w:bCs/>
          <w:sz w:val="32"/>
          <w:szCs w:val="32"/>
        </w:rPr>
        <w:t>《关于下达河南能源集团2024年科技研发项目计划的通知》（豫能办〔2024〕95号）、项目编号2023-17-1。</w:t>
      </w: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二、需求目标</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1.围绕增量配电业务试点，从全局出发，对焦作矿区电网进行总体规划，优化整合矿区电网内电源侧、用户侧、电网侧资源，合理配置储能设施，促进资源要素高效配置。提升清洁能源利用水平和配电网运行效率，有效降低企业综合用能成本，构建新型电力系统，助推企业降本增效高质量发展。</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2.针对高比例新能源接入对电力系统安全稳定运行带来的影响，从新能源资源数值模拟与功率预测、并网安全稳定性策略、智能优化调度等方面进行研究，提高分布式光伏接入电网承载能力提升灵活调节能力，实现新能源可靠发电与安全并网，保证焦煤电网安全、平稳、经济运行。</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3.针对焦作矿区电网特征，开展焦作矿区虚拟电厂关键技术研究，利用虚拟电厂的资源整合能力，协助完成复杂跨空间的广域源网荷储中可调节负荷、储能和分布式电源等多种资源聚合，对区域内资源一体化运营，提高增量配电网自我平衡能力及能源清洁生产和就近消纳，实现自主协调优化控制，优化系统整体运行成本。</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4.借助测算系统的手段，测算不同情景下项目收益，研究如何提高一体化项目整体效率，保证源网荷储一体化项目可持续发展。</w:t>
      </w:r>
    </w:p>
    <w:p>
      <w:pPr>
        <w:widowControl/>
        <w:ind w:firstLine="640" w:firstLineChars="200"/>
        <w:rPr>
          <w:rFonts w:ascii="黑体" w:hAnsi="黑体" w:eastAsia="黑体" w:cs="黑体"/>
          <w:kern w:val="0"/>
          <w:sz w:val="32"/>
          <w:szCs w:val="32"/>
        </w:rPr>
      </w:pPr>
      <w:r>
        <w:rPr>
          <w:rFonts w:hint="eastAsia" w:ascii="黑体" w:hAnsi="黑体" w:eastAsia="黑体" w:cs="黑体"/>
          <w:kern w:val="0"/>
          <w:sz w:val="32"/>
          <w:szCs w:val="32"/>
        </w:rPr>
        <w:t>三、考核指标</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1.制定焦作矿区电网源网荷储一体化总体规划，指导焦作矿区电网源网荷储一体化建设，形成1套焦作矿区电网源网荷储一体化规划报告。</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2.构建1套新型电力系统智能调度平台（包含稳定控制系统及智能调控系统）。在大量新能源接入情境下，对新能源接入焦煤电网承载力进行评估。以一座有光伏接入的变电站及光伏站为试点，研究稳定控制策略，研发新能源并网安全稳定技术，实现新能源可靠发电与安全并网。同时利用虚拟电厂研发智能调控技术，实现多种资源聚合的自主协调优化控制，提高一体化项目整体效率，最终实现目前焦煤电网16-24万kWh的负荷稳定控制，并形成远期（未来两年）负荷增长稳控策略。</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3.形成1套《焦作矿区电网源网荷储一体化关键技术与应用》项目研究报告，并申报省部级以上科技进步奖。</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4.电网源网荷储一体化技术方面实用新型专利申请不少于2项、核心期刊论文发表不少于3篇。</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5.研究成果经第三方鉴定，达到国际先进水平。</w:t>
      </w:r>
    </w:p>
    <w:p>
      <w:pPr>
        <w:widowControl/>
        <w:ind w:firstLine="640" w:firstLineChars="200"/>
        <w:rPr>
          <w:rFonts w:ascii="黑体" w:hAnsi="黑体" w:eastAsia="黑体" w:cs="黑体"/>
          <w:kern w:val="0"/>
          <w:sz w:val="32"/>
          <w:szCs w:val="32"/>
        </w:rPr>
      </w:pPr>
      <w:r>
        <w:rPr>
          <w:rFonts w:hint="eastAsia" w:ascii="黑体" w:hAnsi="黑体" w:eastAsia="黑体" w:cs="黑体"/>
          <w:kern w:val="0"/>
          <w:sz w:val="32"/>
          <w:szCs w:val="32"/>
        </w:rPr>
        <w:t>四、实施期限</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2025年12月底之前。</w:t>
      </w:r>
    </w:p>
    <w:p>
      <w:pPr>
        <w:widowControl/>
        <w:ind w:firstLine="640" w:firstLineChars="200"/>
        <w:rPr>
          <w:rFonts w:ascii="黑体" w:hAnsi="黑体" w:eastAsia="黑体" w:cs="黑体"/>
          <w:kern w:val="0"/>
          <w:sz w:val="32"/>
          <w:szCs w:val="32"/>
        </w:rPr>
      </w:pPr>
      <w:r>
        <w:rPr>
          <w:rFonts w:hint="eastAsia" w:ascii="黑体" w:hAnsi="黑体" w:eastAsia="黑体" w:cs="黑体"/>
          <w:kern w:val="0"/>
          <w:sz w:val="32"/>
          <w:szCs w:val="32"/>
        </w:rPr>
        <w:t>五、榜单限额</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委外研究费用不超过600万元。</w:t>
      </w:r>
    </w:p>
    <w:p>
      <w:pPr>
        <w:widowControl/>
        <w:ind w:firstLine="640" w:firstLineChars="200"/>
        <w:rPr>
          <w:rFonts w:ascii="黑体" w:hAnsi="黑体" w:eastAsia="黑体" w:cs="黑体"/>
          <w:kern w:val="0"/>
          <w:sz w:val="32"/>
          <w:szCs w:val="32"/>
        </w:rPr>
      </w:pPr>
      <w:r>
        <w:rPr>
          <w:rFonts w:hint="eastAsia" w:ascii="黑体" w:hAnsi="黑体" w:eastAsia="黑体" w:cs="黑体"/>
          <w:kern w:val="0"/>
          <w:sz w:val="32"/>
          <w:szCs w:val="32"/>
        </w:rPr>
        <w:t>六、揭榜方条件</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1.揭榜方所在单位具备良好的工作基础、实验条件和科研环境，有较强的研发实力、科研条件和稳定的人员队伍等，有能力完成张榜任务；具有良好的科研道德和社会诚信，近3年内无不良信用记录；一般近五年内应承担过国家和省、行业重点科技攻关项目1项，或取得过国家和省部级、行业级科学技术奖1项，并具有一定的持续发展能力。</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2.揭榜方挂帅者实行“谁有能力谁就揭榜挂帅”的原则。挂帅者作为研发团队带头人，无年龄、学历和职称要求，但应在与本项目相关学科技术领域中已取得较为突出的创新成果，有良好的科学道德和严谨的学风，能对张榜项目需求给出攻克关键核心技术的可行方案，掌握自主知识产权，对本学科领域的发展具有重要推动作用，有时间和精力从事揭榜项目研究工作。</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3.揭榜方参与本项目的科研团队除挂帅者之外一般应有至少1名副高级职称或博士学位的核心人员（特别优秀创新人才不受限制），专业结构合理。团队研究方向和主要研究课题符合集团公司发展领域和优势产业发展的要求，已取得突出成绩或具有明显的创新潜力。</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4.挂帅者应保证在项目实施期间的工作时间和工作量，原则在焦煤公司内部同时承担项目数量不超过2项。</w:t>
      </w:r>
    </w:p>
    <w:p>
      <w:pPr>
        <w:ind w:firstLine="640" w:firstLineChars="200"/>
        <w:rPr>
          <w:rFonts w:ascii="黑体" w:hAnsi="黑体" w:eastAsia="黑体" w:cs="黑体"/>
          <w:kern w:val="0"/>
          <w:sz w:val="32"/>
          <w:szCs w:val="32"/>
        </w:rPr>
      </w:pPr>
      <w:r>
        <w:rPr>
          <w:rFonts w:hint="eastAsia" w:ascii="黑体" w:hAnsi="黑体" w:eastAsia="黑体" w:cs="黑体"/>
          <w:kern w:val="0"/>
          <w:sz w:val="32"/>
          <w:szCs w:val="32"/>
        </w:rPr>
        <w:t>七、知识产权归属及利益分配</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1.专利或软著：第一完成单位为</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 HYPERLINK "http://www.baidu.com/link?url=A0hi_mxm-Resq_NBGi6AKD62ntndF2QXM9Gz2sG4-a6gb2L1PGCn5jTxRS3GCdr3OIQ-LWgqihTPH5pmR0bAlK" \t "https://www.baidu.com/_blank" </w:instrText>
      </w:r>
      <w:r>
        <w:rPr>
          <w:rFonts w:hint="eastAsia" w:ascii="仿宋" w:hAnsi="仿宋" w:eastAsia="仿宋" w:cs="仿宋"/>
          <w:bCs/>
          <w:sz w:val="32"/>
          <w:szCs w:val="32"/>
        </w:rPr>
        <w:fldChar w:fldCharType="separate"/>
      </w:r>
      <w:r>
        <w:rPr>
          <w:rFonts w:hint="eastAsia" w:ascii="仿宋" w:hAnsi="仿宋" w:eastAsia="仿宋" w:cs="仿宋"/>
          <w:bCs/>
          <w:sz w:val="32"/>
          <w:szCs w:val="32"/>
        </w:rPr>
        <w:t>焦作煤业(集团)有限责任公司</w:t>
      </w:r>
      <w:r>
        <w:rPr>
          <w:rFonts w:hint="eastAsia" w:ascii="仿宋" w:hAnsi="仿宋" w:eastAsia="仿宋" w:cs="仿宋"/>
          <w:bCs/>
          <w:sz w:val="32"/>
          <w:szCs w:val="32"/>
        </w:rPr>
        <w:fldChar w:fldCharType="end"/>
      </w:r>
      <w:r>
        <w:rPr>
          <w:rFonts w:hint="eastAsia" w:ascii="仿宋" w:hAnsi="仿宋" w:eastAsia="仿宋" w:cs="仿宋"/>
          <w:bCs/>
          <w:sz w:val="32"/>
          <w:szCs w:val="32"/>
        </w:rPr>
        <w:t>。</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2.论文：第一作者为</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 HYPERLINK "http://www.baidu.com/link?url=A0hi_mxm-Resq_NBGi6AKD62ntndF2QXM9Gz2sG4-a6gb2L1PGCn5jTxRS3GCdr3OIQ-LWgqihTPH5pmR0bAlK" \t "https://www.baidu.com/_blank" </w:instrText>
      </w:r>
      <w:r>
        <w:rPr>
          <w:rFonts w:hint="eastAsia" w:ascii="仿宋" w:hAnsi="仿宋" w:eastAsia="仿宋" w:cs="仿宋"/>
          <w:bCs/>
          <w:sz w:val="32"/>
          <w:szCs w:val="32"/>
        </w:rPr>
        <w:fldChar w:fldCharType="separate"/>
      </w:r>
      <w:r>
        <w:rPr>
          <w:rFonts w:hint="eastAsia" w:ascii="仿宋" w:hAnsi="仿宋" w:eastAsia="仿宋" w:cs="仿宋"/>
          <w:bCs/>
          <w:sz w:val="32"/>
          <w:szCs w:val="32"/>
        </w:rPr>
        <w:t>焦作煤业(集团)有限责任公司</w:t>
      </w:r>
      <w:r>
        <w:rPr>
          <w:rFonts w:hint="eastAsia" w:ascii="仿宋" w:hAnsi="仿宋" w:eastAsia="仿宋" w:cs="仿宋"/>
          <w:bCs/>
          <w:sz w:val="32"/>
          <w:szCs w:val="32"/>
        </w:rPr>
        <w:fldChar w:fldCharType="end"/>
      </w:r>
      <w:r>
        <w:rPr>
          <w:rFonts w:hint="eastAsia" w:ascii="仿宋" w:hAnsi="仿宋" w:eastAsia="仿宋" w:cs="仿宋"/>
          <w:bCs/>
          <w:sz w:val="32"/>
          <w:szCs w:val="32"/>
        </w:rPr>
        <w:t>相关人员。</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3.科技成果：鉴定成果的第一完成单位为</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 HYPERLINK "http://www.baidu.com/link?url=A0hi_mxm-Resq_NBGi6AKD62ntndF2QXM9Gz2sG4-a6gb2L1PGCn5jTxRS3GCdr3OIQ-LWgqihTPH5pmR0bAlK" \t "https://www.baidu.com/_blank" </w:instrText>
      </w:r>
      <w:r>
        <w:rPr>
          <w:rFonts w:hint="eastAsia" w:ascii="仿宋" w:hAnsi="仿宋" w:eastAsia="仿宋" w:cs="仿宋"/>
          <w:bCs/>
          <w:sz w:val="32"/>
          <w:szCs w:val="32"/>
        </w:rPr>
        <w:fldChar w:fldCharType="separate"/>
      </w:r>
      <w:r>
        <w:rPr>
          <w:rFonts w:hint="eastAsia" w:ascii="仿宋" w:hAnsi="仿宋" w:eastAsia="仿宋" w:cs="仿宋"/>
          <w:bCs/>
          <w:sz w:val="32"/>
          <w:szCs w:val="32"/>
        </w:rPr>
        <w:t>焦作煤业(集团)有限责任公司</w:t>
      </w:r>
      <w:r>
        <w:rPr>
          <w:rFonts w:hint="eastAsia" w:ascii="仿宋" w:hAnsi="仿宋" w:eastAsia="仿宋" w:cs="仿宋"/>
          <w:bCs/>
          <w:sz w:val="32"/>
          <w:szCs w:val="32"/>
        </w:rPr>
        <w:fldChar w:fldCharType="end"/>
      </w:r>
      <w:r>
        <w:rPr>
          <w:rFonts w:hint="eastAsia" w:ascii="仿宋" w:hAnsi="仿宋" w:eastAsia="仿宋" w:cs="仿宋"/>
          <w:bCs/>
          <w:sz w:val="32"/>
          <w:szCs w:val="32"/>
        </w:rPr>
        <w:t>，完成人员名次可协商确定。</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4.本项目中知识产权以后所产生的利益均归属</w:t>
      </w:r>
      <w:r>
        <w:rPr>
          <w:rFonts w:hint="eastAsia" w:ascii="仿宋" w:hAnsi="仿宋" w:eastAsia="仿宋" w:cs="仿宋"/>
          <w:bCs/>
          <w:sz w:val="32"/>
          <w:szCs w:val="32"/>
        </w:rPr>
        <w:fldChar w:fldCharType="begin"/>
      </w:r>
      <w:r>
        <w:rPr>
          <w:rFonts w:hint="eastAsia" w:ascii="仿宋" w:hAnsi="仿宋" w:eastAsia="仿宋" w:cs="仿宋"/>
          <w:bCs/>
          <w:sz w:val="32"/>
          <w:szCs w:val="32"/>
        </w:rPr>
        <w:instrText xml:space="preserve"> HYPERLINK "http://www.baidu.com/link?url=A0hi_mxm-Resq_NBGi6AKD62ntndF2QXM9Gz2sG4-a6gb2L1PGCn5jTxRS3GCdr3OIQ-LWgqihTPH5pmR0bAlK" \t "https://www.baidu.com/_blank" </w:instrText>
      </w:r>
      <w:r>
        <w:rPr>
          <w:rFonts w:hint="eastAsia" w:ascii="仿宋" w:hAnsi="仿宋" w:eastAsia="仿宋" w:cs="仿宋"/>
          <w:bCs/>
          <w:sz w:val="32"/>
          <w:szCs w:val="32"/>
        </w:rPr>
        <w:fldChar w:fldCharType="separate"/>
      </w:r>
      <w:r>
        <w:rPr>
          <w:rFonts w:hint="eastAsia" w:ascii="仿宋" w:hAnsi="仿宋" w:eastAsia="仿宋" w:cs="仿宋"/>
          <w:bCs/>
          <w:sz w:val="32"/>
          <w:szCs w:val="32"/>
        </w:rPr>
        <w:t>焦作煤业(集团)有限责任公司</w:t>
      </w:r>
      <w:r>
        <w:rPr>
          <w:rFonts w:hint="eastAsia" w:ascii="仿宋" w:hAnsi="仿宋" w:eastAsia="仿宋" w:cs="仿宋"/>
          <w:bCs/>
          <w:sz w:val="32"/>
          <w:szCs w:val="32"/>
        </w:rPr>
        <w:fldChar w:fldCharType="end"/>
      </w:r>
      <w:r>
        <w:rPr>
          <w:rFonts w:hint="eastAsia" w:ascii="仿宋" w:hAnsi="仿宋" w:eastAsia="仿宋" w:cs="仿宋"/>
          <w:bCs/>
          <w:sz w:val="32"/>
          <w:szCs w:val="32"/>
        </w:rPr>
        <w:t>。</w:t>
      </w:r>
    </w:p>
    <w:p>
      <w:pPr>
        <w:widowControl/>
        <w:ind w:firstLine="640" w:firstLineChars="200"/>
        <w:rPr>
          <w:rFonts w:ascii="黑体" w:hAnsi="黑体" w:eastAsia="黑体" w:cs="黑体"/>
          <w:kern w:val="0"/>
          <w:sz w:val="32"/>
          <w:szCs w:val="32"/>
        </w:rPr>
      </w:pPr>
      <w:r>
        <w:rPr>
          <w:rFonts w:hint="eastAsia" w:ascii="黑体" w:hAnsi="黑体" w:eastAsia="黑体" w:cs="黑体"/>
          <w:kern w:val="0"/>
          <w:sz w:val="32"/>
          <w:szCs w:val="32"/>
        </w:rPr>
        <w:t>八、预期成果</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1.形成1套焦作矿区电网源网荷储一体化规划报告。</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2.建设1套新型电力系统智能调度平台。</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3.形成1套《焦作矿区电网源网荷储一体化关键技术与应用》项目研究报告，并申报省部级以上科技进步奖。</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4.电网源网荷储一体化技术方面实用新型专利申请不少于2项、核心期刊论文发表不少于3篇。</w:t>
      </w:r>
    </w:p>
    <w:p>
      <w:pPr>
        <w:widowControl/>
        <w:ind w:firstLine="640" w:firstLineChars="200"/>
        <w:jc w:val="left"/>
        <w:rPr>
          <w:rFonts w:ascii="黑体" w:hAnsi="黑体" w:eastAsia="黑体" w:cs="黑体"/>
          <w:kern w:val="0"/>
          <w:sz w:val="32"/>
          <w:szCs w:val="32"/>
        </w:rPr>
      </w:pPr>
      <w:r>
        <w:rPr>
          <w:rFonts w:hint="eastAsia" w:ascii="黑体" w:hAnsi="黑体" w:eastAsia="黑体" w:cs="黑体"/>
          <w:kern w:val="0"/>
          <w:sz w:val="32"/>
          <w:szCs w:val="32"/>
        </w:rPr>
        <w:t>九、应用场景</w:t>
      </w:r>
    </w:p>
    <w:p>
      <w:pPr>
        <w:widowControl/>
        <w:ind w:firstLine="640" w:firstLineChars="200"/>
        <w:rPr>
          <w:rFonts w:hint="eastAsia" w:ascii="仿宋" w:hAnsi="仿宋" w:eastAsia="仿宋" w:cs="仿宋"/>
          <w:bCs/>
          <w:sz w:val="32"/>
          <w:szCs w:val="32"/>
        </w:rPr>
      </w:pPr>
      <w:r>
        <w:rPr>
          <w:rFonts w:hint="eastAsia" w:ascii="仿宋" w:hAnsi="仿宋" w:eastAsia="仿宋" w:cs="仿宋"/>
          <w:bCs/>
          <w:sz w:val="32"/>
          <w:szCs w:val="32"/>
        </w:rPr>
        <w:t>在焦煤电网内，实现一体化运营。</w:t>
      </w:r>
    </w:p>
    <w:p>
      <w:pPr>
        <w:widowControl/>
        <w:ind w:firstLine="640" w:firstLineChars="200"/>
        <w:rPr>
          <w:rFonts w:ascii="仿宋_GB2312" w:hAnsi="宋体" w:eastAsia="仿宋_GB2312" w:cs="宋体"/>
          <w:kern w:val="0"/>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M5ODRkODY3ZDFhYjE5NzJhYjU2YTFjNmY1NGI0NmUifQ=="/>
    <w:docVar w:name="KSO_WPS_MARK_KEY" w:val="3ef02186-5bf3-468f-aec5-58c6f70c5ead"/>
  </w:docVars>
  <w:rsids>
    <w:rsidRoot w:val="008C16CB"/>
    <w:rsid w:val="00013C80"/>
    <w:rsid w:val="00015271"/>
    <w:rsid w:val="00096059"/>
    <w:rsid w:val="000A1214"/>
    <w:rsid w:val="000A4A97"/>
    <w:rsid w:val="000D4422"/>
    <w:rsid w:val="000F5EAC"/>
    <w:rsid w:val="001214EA"/>
    <w:rsid w:val="00164825"/>
    <w:rsid w:val="00196B00"/>
    <w:rsid w:val="001E2505"/>
    <w:rsid w:val="0023706F"/>
    <w:rsid w:val="0024540C"/>
    <w:rsid w:val="00253085"/>
    <w:rsid w:val="002E7F9E"/>
    <w:rsid w:val="002F65E2"/>
    <w:rsid w:val="00326182"/>
    <w:rsid w:val="003967C0"/>
    <w:rsid w:val="003C42C0"/>
    <w:rsid w:val="004722EB"/>
    <w:rsid w:val="004928D1"/>
    <w:rsid w:val="004B3122"/>
    <w:rsid w:val="004B7B43"/>
    <w:rsid w:val="004F1F34"/>
    <w:rsid w:val="00517DA0"/>
    <w:rsid w:val="0054220F"/>
    <w:rsid w:val="00544BCF"/>
    <w:rsid w:val="00575457"/>
    <w:rsid w:val="006069ED"/>
    <w:rsid w:val="00614B77"/>
    <w:rsid w:val="00665817"/>
    <w:rsid w:val="006E6C8F"/>
    <w:rsid w:val="00712D22"/>
    <w:rsid w:val="007705A2"/>
    <w:rsid w:val="00801D3C"/>
    <w:rsid w:val="00852DBA"/>
    <w:rsid w:val="00874922"/>
    <w:rsid w:val="008C16CB"/>
    <w:rsid w:val="008D18B0"/>
    <w:rsid w:val="009744D0"/>
    <w:rsid w:val="009A13A1"/>
    <w:rsid w:val="009C53CC"/>
    <w:rsid w:val="009F1CAE"/>
    <w:rsid w:val="00A25FA4"/>
    <w:rsid w:val="00A47BC1"/>
    <w:rsid w:val="00A92BE1"/>
    <w:rsid w:val="00AB34F2"/>
    <w:rsid w:val="00AD1D50"/>
    <w:rsid w:val="00AE31CB"/>
    <w:rsid w:val="00AF6A18"/>
    <w:rsid w:val="00AF70DE"/>
    <w:rsid w:val="00B06F3C"/>
    <w:rsid w:val="00B61D01"/>
    <w:rsid w:val="00BA3DB3"/>
    <w:rsid w:val="00BC0CC2"/>
    <w:rsid w:val="00BC7A29"/>
    <w:rsid w:val="00C02392"/>
    <w:rsid w:val="00C16BB3"/>
    <w:rsid w:val="00C72C7D"/>
    <w:rsid w:val="00C91332"/>
    <w:rsid w:val="00CC0A52"/>
    <w:rsid w:val="00CE1D41"/>
    <w:rsid w:val="00D36641"/>
    <w:rsid w:val="00D6288F"/>
    <w:rsid w:val="00DA21AF"/>
    <w:rsid w:val="00DC2086"/>
    <w:rsid w:val="00DC7CB6"/>
    <w:rsid w:val="00DC7F19"/>
    <w:rsid w:val="00E04A6A"/>
    <w:rsid w:val="00E43A1D"/>
    <w:rsid w:val="00E83641"/>
    <w:rsid w:val="00E84C44"/>
    <w:rsid w:val="00E964B0"/>
    <w:rsid w:val="00EF3637"/>
    <w:rsid w:val="00F25E40"/>
    <w:rsid w:val="00F4702C"/>
    <w:rsid w:val="00F56109"/>
    <w:rsid w:val="00FE462B"/>
    <w:rsid w:val="02A47A61"/>
    <w:rsid w:val="0ED84FA1"/>
    <w:rsid w:val="14E20D58"/>
    <w:rsid w:val="174212A1"/>
    <w:rsid w:val="17A22A96"/>
    <w:rsid w:val="18A32315"/>
    <w:rsid w:val="27E61DF7"/>
    <w:rsid w:val="31733877"/>
    <w:rsid w:val="32753CF0"/>
    <w:rsid w:val="361A2073"/>
    <w:rsid w:val="3BD86D0D"/>
    <w:rsid w:val="3FF320CB"/>
    <w:rsid w:val="42696A28"/>
    <w:rsid w:val="4E01039B"/>
    <w:rsid w:val="54D0671E"/>
    <w:rsid w:val="5C2558AF"/>
    <w:rsid w:val="5D590402"/>
    <w:rsid w:val="615E7582"/>
    <w:rsid w:val="62CF5E0F"/>
    <w:rsid w:val="71B0529C"/>
    <w:rsid w:val="7317477A"/>
    <w:rsid w:val="743B50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12">
    <w:name w:val="heading 1"/>
    <w:basedOn w:val="1"/>
    <w:next w:val="1"/>
    <w:link w:val="25"/>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paragraph" w:styleId="13">
    <w:name w:val="heading 2"/>
    <w:basedOn w:val="1"/>
    <w:next w:val="1"/>
    <w:qFormat/>
    <w:uiPriority w:val="9"/>
    <w:pPr>
      <w:spacing w:line="360" w:lineRule="auto"/>
      <w:ind w:firstLine="480" w:firstLineChars="200"/>
      <w:outlineLvl w:val="1"/>
    </w:pPr>
    <w:rPr>
      <w:b/>
      <w:sz w:val="24"/>
    </w:rPr>
  </w:style>
  <w:style w:type="paragraph" w:styleId="14">
    <w:name w:val="heading 3"/>
    <w:basedOn w:val="1"/>
    <w:next w:val="1"/>
    <w:semiHidden/>
    <w:unhideWhenUsed/>
    <w:qFormat/>
    <w:uiPriority w:val="9"/>
    <w:pPr>
      <w:spacing w:beforeAutospacing="1" w:afterAutospacing="1"/>
      <w:jc w:val="left"/>
      <w:outlineLvl w:val="2"/>
    </w:pPr>
    <w:rPr>
      <w:rFonts w:hint="eastAsia" w:ascii="宋体" w:hAnsi="宋体" w:eastAsia="宋体" w:cs="Times New Roman"/>
      <w:b/>
      <w:bCs/>
      <w:kern w:val="0"/>
      <w:sz w:val="27"/>
      <w:szCs w:val="27"/>
    </w:rPr>
  </w:style>
  <w:style w:type="character" w:default="1" w:styleId="22">
    <w:name w:val="Default Paragraph Font"/>
    <w:semiHidden/>
    <w:unhideWhenUsed/>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customStyle="1" w:styleId="2">
    <w:name w:val="UserStyle_0"/>
    <w:basedOn w:val="3"/>
    <w:next w:val="3"/>
    <w:qFormat/>
    <w:uiPriority w:val="0"/>
    <w:pPr>
      <w:textAlignment w:val="baseline"/>
    </w:pPr>
  </w:style>
  <w:style w:type="paragraph" w:customStyle="1" w:styleId="3">
    <w:name w:val="UserStyle_1"/>
    <w:basedOn w:val="4"/>
    <w:next w:val="11"/>
    <w:qFormat/>
    <w:uiPriority w:val="0"/>
    <w:pPr>
      <w:spacing w:after="120"/>
      <w:ind w:left="420" w:leftChars="200"/>
    </w:pPr>
  </w:style>
  <w:style w:type="paragraph" w:customStyle="1" w:styleId="4">
    <w:name w:val="正文 New New New New New New New New New New New New New New New"/>
    <w:next w:val="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5">
    <w:name w:val="Body Text First Indent 22"/>
    <w:basedOn w:val="6"/>
    <w:next w:val="8"/>
    <w:qFormat/>
    <w:uiPriority w:val="0"/>
    <w:pPr>
      <w:ind w:firstLine="420" w:firstLineChars="200"/>
    </w:pPr>
  </w:style>
  <w:style w:type="paragraph" w:customStyle="1" w:styleId="6">
    <w:name w:val="Body Text Indent2"/>
    <w:basedOn w:val="1"/>
    <w:next w:val="7"/>
    <w:qFormat/>
    <w:uiPriority w:val="0"/>
    <w:pPr>
      <w:spacing w:after="120"/>
      <w:ind w:left="420" w:leftChars="200"/>
    </w:pPr>
  </w:style>
  <w:style w:type="paragraph" w:customStyle="1" w:styleId="7">
    <w:name w:val="index 72"/>
    <w:basedOn w:val="1"/>
    <w:next w:val="4"/>
    <w:qFormat/>
    <w:uiPriority w:val="0"/>
    <w:pPr>
      <w:ind w:left="2520"/>
    </w:pPr>
  </w:style>
  <w:style w:type="paragraph" w:customStyle="1" w:styleId="8">
    <w:name w:val="正文首行缩进2"/>
    <w:basedOn w:val="9"/>
    <w:next w:val="5"/>
    <w:qFormat/>
    <w:uiPriority w:val="0"/>
    <w:pPr>
      <w:ind w:firstLine="420" w:firstLineChars="100"/>
    </w:pPr>
  </w:style>
  <w:style w:type="paragraph" w:customStyle="1" w:styleId="9">
    <w:name w:val="正文文本 New New"/>
    <w:basedOn w:val="4"/>
    <w:next w:val="10"/>
    <w:qFormat/>
    <w:uiPriority w:val="0"/>
    <w:pPr>
      <w:spacing w:after="120"/>
    </w:pPr>
  </w:style>
  <w:style w:type="paragraph" w:customStyle="1" w:styleId="10">
    <w:name w:val="正文文本 21"/>
    <w:basedOn w:val="4"/>
    <w:qFormat/>
    <w:uiPriority w:val="0"/>
    <w:pPr>
      <w:spacing w:after="120" w:line="480" w:lineRule="auto"/>
    </w:pPr>
    <w:rPr>
      <w:rFonts w:ascii="Arial" w:hAnsi="Arial"/>
    </w:rPr>
  </w:style>
  <w:style w:type="paragraph" w:customStyle="1" w:styleId="11">
    <w:name w:val="UserStyle_2"/>
    <w:basedOn w:val="1"/>
    <w:next w:val="1"/>
    <w:qFormat/>
    <w:uiPriority w:val="0"/>
    <w:pPr>
      <w:ind w:left="1200" w:leftChars="1200"/>
      <w:textAlignment w:val="baseline"/>
    </w:pPr>
  </w:style>
  <w:style w:type="paragraph" w:styleId="15">
    <w:name w:val="Balloon Text"/>
    <w:basedOn w:val="1"/>
    <w:link w:val="31"/>
    <w:semiHidden/>
    <w:unhideWhenUsed/>
    <w:qFormat/>
    <w:uiPriority w:val="99"/>
    <w:rPr>
      <w:sz w:val="18"/>
      <w:szCs w:val="18"/>
    </w:rPr>
  </w:style>
  <w:style w:type="paragraph" w:styleId="16">
    <w:name w:val="footer"/>
    <w:basedOn w:val="1"/>
    <w:link w:val="30"/>
    <w:unhideWhenUsed/>
    <w:qFormat/>
    <w:uiPriority w:val="99"/>
    <w:pPr>
      <w:tabs>
        <w:tab w:val="center" w:pos="4153"/>
        <w:tab w:val="right" w:pos="8306"/>
      </w:tabs>
      <w:snapToGrid w:val="0"/>
      <w:jc w:val="left"/>
    </w:pPr>
    <w:rPr>
      <w:sz w:val="18"/>
      <w:szCs w:val="18"/>
    </w:rPr>
  </w:style>
  <w:style w:type="paragraph" w:styleId="17">
    <w:name w:val="header"/>
    <w:basedOn w:val="1"/>
    <w:link w:val="29"/>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footnote text"/>
    <w:basedOn w:val="1"/>
    <w:link w:val="26"/>
    <w:qFormat/>
    <w:uiPriority w:val="0"/>
    <w:pPr>
      <w:snapToGrid w:val="0"/>
      <w:jc w:val="left"/>
    </w:pPr>
    <w:rPr>
      <w:rFonts w:ascii="Calibri" w:hAnsi="Calibri" w:eastAsia="宋体" w:cs="Arial"/>
      <w:sz w:val="18"/>
      <w:szCs w:val="18"/>
    </w:rPr>
  </w:style>
  <w:style w:type="paragraph" w:styleId="19">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21">
    <w:name w:val="Table Grid"/>
    <w:basedOn w:val="2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Hyperlink"/>
    <w:basedOn w:val="22"/>
    <w:semiHidden/>
    <w:unhideWhenUsed/>
    <w:qFormat/>
    <w:uiPriority w:val="99"/>
    <w:rPr>
      <w:color w:val="0000FF"/>
      <w:u w:val="single"/>
    </w:rPr>
  </w:style>
  <w:style w:type="character" w:styleId="24">
    <w:name w:val="footnote reference"/>
    <w:qFormat/>
    <w:uiPriority w:val="0"/>
    <w:rPr>
      <w:vertAlign w:val="superscript"/>
    </w:rPr>
  </w:style>
  <w:style w:type="character" w:customStyle="1" w:styleId="25">
    <w:name w:val="标题 1 Char"/>
    <w:basedOn w:val="22"/>
    <w:link w:val="12"/>
    <w:qFormat/>
    <w:uiPriority w:val="9"/>
    <w:rPr>
      <w:rFonts w:ascii="宋体" w:hAnsi="宋体" w:eastAsia="宋体" w:cs="宋体"/>
      <w:b/>
      <w:bCs/>
      <w:kern w:val="36"/>
      <w:sz w:val="48"/>
      <w:szCs w:val="48"/>
    </w:rPr>
  </w:style>
  <w:style w:type="character" w:customStyle="1" w:styleId="26">
    <w:name w:val="脚注文本 Char"/>
    <w:basedOn w:val="22"/>
    <w:link w:val="18"/>
    <w:qFormat/>
    <w:uiPriority w:val="0"/>
    <w:rPr>
      <w:rFonts w:ascii="Calibri" w:hAnsi="Calibri" w:eastAsia="宋体" w:cs="Arial"/>
      <w:sz w:val="18"/>
      <w:szCs w:val="18"/>
    </w:rPr>
  </w:style>
  <w:style w:type="paragraph" w:customStyle="1" w:styleId="27">
    <w:name w:val="报告正文"/>
    <w:basedOn w:val="1"/>
    <w:qFormat/>
    <w:uiPriority w:val="0"/>
    <w:pPr>
      <w:spacing w:line="360" w:lineRule="auto"/>
      <w:ind w:firstLine="200" w:firstLineChars="200"/>
    </w:pPr>
    <w:rPr>
      <w:rFonts w:ascii="Times New Roman" w:hAnsi="Times New Roman" w:eastAsia="仿宋_GB2312" w:cs="Times New Roman"/>
      <w:sz w:val="28"/>
      <w:szCs w:val="28"/>
    </w:rPr>
  </w:style>
  <w:style w:type="paragraph" w:styleId="28">
    <w:name w:val="List Paragraph"/>
    <w:basedOn w:val="1"/>
    <w:qFormat/>
    <w:uiPriority w:val="34"/>
    <w:pPr>
      <w:ind w:firstLine="420" w:firstLineChars="200"/>
    </w:pPr>
  </w:style>
  <w:style w:type="character" w:customStyle="1" w:styleId="29">
    <w:name w:val="页眉 Char"/>
    <w:basedOn w:val="22"/>
    <w:link w:val="17"/>
    <w:qFormat/>
    <w:uiPriority w:val="99"/>
    <w:rPr>
      <w:rFonts w:asciiTheme="minorHAnsi" w:hAnsiTheme="minorHAnsi" w:eastAsiaTheme="minorEastAsia" w:cstheme="minorBidi"/>
      <w:kern w:val="2"/>
      <w:sz w:val="18"/>
      <w:szCs w:val="18"/>
    </w:rPr>
  </w:style>
  <w:style w:type="character" w:customStyle="1" w:styleId="30">
    <w:name w:val="页脚 Char"/>
    <w:basedOn w:val="22"/>
    <w:link w:val="16"/>
    <w:qFormat/>
    <w:uiPriority w:val="99"/>
    <w:rPr>
      <w:rFonts w:asciiTheme="minorHAnsi" w:hAnsiTheme="minorHAnsi" w:eastAsiaTheme="minorEastAsia" w:cstheme="minorBidi"/>
      <w:kern w:val="2"/>
      <w:sz w:val="18"/>
      <w:szCs w:val="18"/>
    </w:rPr>
  </w:style>
  <w:style w:type="character" w:customStyle="1" w:styleId="31">
    <w:name w:val="批注框文本 Char"/>
    <w:basedOn w:val="22"/>
    <w:link w:val="15"/>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1771</Words>
  <Characters>1820</Characters>
  <Lines>17</Lines>
  <Paragraphs>5</Paragraphs>
  <TotalTime>0</TotalTime>
  <ScaleCrop>false</ScaleCrop>
  <LinksUpToDate>false</LinksUpToDate>
  <CharactersWithSpaces>1820</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2024-05-29T03:33:00Z</dcterms:created>
  <dc:creator>lhj</dc:creator>
  <cp:lastModifiedBy>郝娅小A</cp:lastModifiedBy>
  <cp:lastPrinted>2024-05-29T04:48:00Z</cp:lastPrinted>
  <dcterms:modified xsi:type="dcterms:W3CDTF">2024-06-04T00:37:35Z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11F267B68A354C6D950C72FFCF08D684_12</vt:lpwstr>
  </property>
</Properties>
</file>